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Пластическая хирургия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05:13 МСК · База обновлена: 25.07.2026, 04:48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Пластическая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35лет обратилась к врачу-пластическому хирургу.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неэстетичный вид малых половых губ, неудовлетворенность качеством коитуса.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Менструации с 12 лет, установились сразу, умеренные, по 4—5 16 дней, через 28 дней, регулярные, болезненные в первый день. После начала половой жизни и родов характер менструального цикла не изменялся. Последняя менструация 28 августа, в срок, без особенностей.</w:t>
      </w:r>
    </w:p>
    <w:p>
      <w:pPr>
        <w:spacing w:after="58"/>
      </w:pPr>
      <w:r>
        <w:rPr>
          <w:b w:val="0"/>
          <w:i w:val="0"/>
        </w:rPr>
        <w:t>* Первая беременность — 2011 г. Наступила после отмены гормональной контрацепции. Беременность завершилась своевременными самопроизвольными родами в головном предлежании крупным плодом. Масса тела 4250 г, рост 51 см, мальчик, 8—9 баллов по шкале Апгар. Выписана с ребенком домой на 3-е сутки. Кормила ребенка грудью до 2 лет. Вторая беременность — 2015 г. Беременность завершилась своевременными самопроизвольными родами в головном предлежании . Масса тела 3750 г, рост 50 см, мальчик, 8—9 баллов по шкале Апгар. Выписана с ребенком домой на 2-е сутки.).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Росла и развивалась без особенностей.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Состояние удовлетворительное. Вес 55 кг, рост 167 см. Температура тела 36,6°С.</w:t>
      </w:r>
    </w:p>
    <w:p>
      <w:pPr>
        <w:spacing w:after="58"/>
      </w:pPr>
      <w:r>
        <w:rPr>
          <w:b w:val="0"/>
          <w:i w:val="0"/>
        </w:rPr>
        <w:t>* Кожные покровы и видимые слизистые физиологической окраски.</w:t>
      </w:r>
    </w:p>
    <w:p>
      <w:pPr>
        <w:spacing w:after="58"/>
      </w:pPr>
      <w:r>
        <w:rPr>
          <w:b w:val="0"/>
          <w:i w:val="0"/>
        </w:rPr>
        <w:t>* Дыхание через нос свободное. Грудная клетка правильной формы, симметричная. Над- и подключичные ямки умеренно выражены, одинаковы с обеих сторон, межреберные промежутки не расширены. Тип дыхания грудной, дыхательные движения ритмичные, средней глубины, обе половины грудной клетки одинаково участвуют в акте дыхания. ЧД – 16 в минуту.</w:t>
      </w:r>
    </w:p>
    <w:p>
      <w:pPr>
        <w:spacing w:after="58"/>
      </w:pPr>
      <w:r>
        <w:rPr>
          <w:b w:val="0"/>
          <w:i w:val="0"/>
        </w:rPr>
        <w:t>* При пальпации грудная клетка упругая, податливая, безболезненная. Молочные железы симметричны, без визуальных и пальпаторных симптомов опухолевой и иной патологии. Голосовое дрожание выражено умеренно, одинаково на симметричных участках грудной клетки. Перкуссия легких. Сравнительная перкуссия: над всей грудной клеткой в проекции легких определяется коробочный легочный звук. Границы лёгких в пределах нормы справа. Аускультация. Над всей поверхностью грудной клетки в проекции легких определяется везикулярное дыхание, хрипов нет, ЧДД 16 уд в мин. Ро2 98%</w:t>
      </w:r>
    </w:p>
    <w:p>
      <w:pPr>
        <w:spacing w:after="58"/>
      </w:pPr>
      <w:r>
        <w:rPr>
          <w:b w:val="0"/>
          <w:i w:val="0"/>
        </w:rPr>
        <w:t>* Гемодинамические показатели стабильные, тоны сердца ясные, ритм правильный, ЧСС 75 уд в мин, АД 110/70 мм.рт.ст.</w:t>
      </w:r>
    </w:p>
    <w:p>
      <w:pPr>
        <w:spacing w:after="58"/>
      </w:pPr>
      <w:r>
        <w:rPr>
          <w:b w:val="0"/>
          <w:i w:val="0"/>
        </w:rPr>
        <w:t>* Живот не вздут, не напряжен, при пальпации безболезненный. Перитонеальных симптомов нет. Мочеиспускание самостоятельное, в достаточном количестве, стул регулярный.</w:t>
      </w:r>
    </w:p>
    <w:p>
      <w:pPr>
        <w:spacing w:after="58"/>
      </w:pPr>
      <w:r>
        <w:rPr>
          <w:b w:val="0"/>
          <w:i w:val="0"/>
        </w:rPr>
        <w:t>*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основным методам обследования для постановки диагноза относится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визуальный осмотр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анализ крови, на количественное содержание половых гормонов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УЗИ органов малого таза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осмотр в зеркалах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визуальный осмотр</w:t>
      </w:r>
    </w:p>
    <w:p>
      <w:pPr>
        <w:ind w:left="504"/>
      </w:pPr>
      <w:r>
        <w:rPr>
          <w:b w:val="0"/>
          <w:i/>
        </w:rPr>
        <w:t>На основании осмотра определяется предварительный диагноз</w:t>
        <w:br/>
        <w:br/>
        <w:t>Курс пластической хирургии: Руководство для врачей. В 2 т. / Под ред. К. П. Пшениснова</w:t>
        <w:br/>
        <w:br/>
        <w:t>ТОМ 2, Часть 5. Туловище и нижняя конечность</w:t>
        <w:br/>
        <w:br/>
        <w:t>Глава 5.5 Генитоуринарная реконструкция и эстетика наружных половых органов; стр. 1181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Наиболее информативным методом постановки диагноза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измерение длины половых губ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скрининг ИППП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гистероскопия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кольпоскопия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измерение длины половых губ</w:t>
      </w:r>
    </w:p>
    <w:p>
      <w:pPr>
        <w:ind w:left="504"/>
      </w:pPr>
      <w:r>
        <w:rPr>
          <w:b w:val="0"/>
          <w:i/>
        </w:rPr>
        <w:t>Измерение длины половых губ позволяет поставить диагноз гипертрофия малых половых губ и определить степень выраженности гипертрофии.</w:t>
        <w:br/>
        <w:br/>
        <w:t>Курс пластической хирургии: Руководство для врачей. В 2 т. / Под ред. К. П. Пшениснова</w:t>
        <w:br/>
        <w:br/>
        <w:t>ТОМ 2, Часть 5. Туловище и нижняя конечность</w:t>
        <w:br/>
        <w:br/>
        <w:t>Глава 5.5 Генитоуринарная реконструкция и эстетика наружных половых органов; стр. 118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Наиболее вероятным диагнозом в данной клинической ситуации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Гипертрофия (элонгация) малых половых губ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Ректоцеле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Лейкоплакия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Эндометриоз наружных половых органов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Гипертрофия (элонгация) малых половых губ</w:t>
      </w:r>
    </w:p>
    <w:p>
      <w:pPr>
        <w:ind w:left="504"/>
      </w:pPr>
      <w:r>
        <w:rPr>
          <w:b w:val="0"/>
          <w:i/>
        </w:rPr>
        <w:t>{nbsp}</w:t>
        <w:br/>
        <w:t>1.Эстетические: пациентку не устраивает форма или размер малых половых губ, что доставляет психологический дискомфорт.</w:t>
        <w:br/>
        <w:br/>
        <w:t>{nbsp}</w:t>
        <w:br/>
        <w:t>2. Медицинские: когда деформация или асимметрия малых половых губ возникла в результате родов или акушерских пособий. Также в эту группу можно отнести пациенток, у которых размер малых половых губ доставляет дискомфорт в повседневной жизни, связанный с ношением одежды, личной гигиеной и т. д.</w:t>
        <w:br/>
        <w:br/>
        <w:t>{nbsp}</w:t>
        <w:br/>
        <w:t>3. Улучшение качества сексуальной жизни. Здесь, кроме увеличения малых половых губ, имеет значение избыток кожи в зоне клитора</w:t>
        <w:br/>
        <w:br/>
        <w:t>Курс пластической хирургии: Руководство для врачей. В 2 т. / Под ред. К. П. Пшениснова</w:t>
        <w:br/>
        <w:br/>
        <w:t>ТОМ 2, Часть 5. Туловище и нижняя конечность</w:t>
        <w:br/>
        <w:br/>
        <w:t>Глава 5.5 Генитоуринарная реконструкция и эстетика наружных половых органов; стр. 1181</w:t>
      </w:r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Пациентке показано +______________+ лечение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лазерное абляционное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медикаментозное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лазерное фракционное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хирургическое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хирургическое</w:t>
      </w:r>
    </w:p>
    <w:p>
      <w:pPr>
        <w:ind w:left="504"/>
      </w:pPr>
      <w:r>
        <w:rPr>
          <w:b w:val="0"/>
          <w:i/>
        </w:rPr>
        <w:t>Гипертрофия малых половых губ и желание пациентки в совокупности являются показанием для хирургической коррекции</w:t>
        <w:br/>
        <w:br/>
        <w:t>Курс пластической хирургии: Руководство для врачей. В 2 т. / Под ред. К. П. Пшениснова</w:t>
        <w:br/>
        <w:br/>
        <w:t>ТОМ 2, Часть 5. Туловище и нижняя конечность</w:t>
        <w:br/>
        <w:br/>
        <w:t>Глава 5.5 Генитоуринарная реконструкция и эстетика наружных половых органов; стр. 118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Хирургическое лечение пациентки заключается 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резекции малых половых губ (редукционной лабиопластике)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липофиллинге малых половых губ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установке синтетического слинга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задней кольпоперинеолеваторопластике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резекции малых половых губ (редукционной лабиопластике)</w:t>
      </w:r>
    </w:p>
    <w:p>
      <w:pPr>
        <w:ind w:left="504"/>
      </w:pPr>
      <w:r>
        <w:rPr>
          <w:b w:val="0"/>
          <w:i/>
        </w:rPr>
        <w:t>a|</w:t>
        <w:br/>
        <w:br/>
        <w:t xml:space="preserve"> a|</w:t>
        <w:br/>
        <w:br/>
        <w:t xml:space="preserve"> a|</w:t>
        <w:br/>
        <w:br/>
        <w:t xml:space="preserve"> a|</w:t>
        <w:br/>
        <w:br/>
        <w:t>{nbsp}</w:t>
        <w:br/>
        <w:br/>
        <w:t>Курс пластической хирургии: Руководство для врачей. В 2 т. / Под ред. К. П. Пшениснова</w:t>
        <w:br/>
        <w:br/>
        <w:t>ТОМ 2, Часть 5. Туловище и нижняя конечность</w:t>
        <w:br/>
        <w:br/>
        <w:t>Глава 5.5 Генитоуринарная реконструкция и эстетика наружных половых органов; стр. 1181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Лечение пациентки должно проводится в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кабинета пластического хирурга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стационара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дневного стационара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поликлиники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стационара</w:t>
      </w:r>
    </w:p>
    <w:p>
      <w:pPr>
        <w:ind w:left="504"/>
      </w:pPr>
      <w:r>
        <w:rPr>
          <w:b w:val="0"/>
          <w:i/>
        </w:rPr>
        <w:t>Пластические операции выполняют в условиях стационара с лицензией на медицинскую деятельность по профилю «Пластическая хирургия»</w:t>
        <w:br/>
        <w:br/>
        <w:t>Курс пластической хирургии: Руководство для врачей. В 2 т. / Под ред. К. П. Пшениснова</w:t>
        <w:br/>
        <w:br/>
        <w:t>ТОМ 2, Часть 5. Туловище и нижняя конечность</w:t>
        <w:br/>
        <w:br/>
        <w:t>Глава 5.5 Генитоуринарная реконструкция и эстетика наружных половых органов; стр. 1182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Пациентке показано редукционная лабиопластика в объеме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классической V-образной резекции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резекции одной половой губы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пластики преддверия влагалища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редукции препуция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классической V-образной резекции</w:t>
      </w:r>
    </w:p>
    <w:p>
      <w:pPr>
        <w:ind w:left="504"/>
      </w:pPr>
      <w:r>
        <w:rPr>
          <w:b w:val="0"/>
          <w:i/>
        </w:rPr>
        <w:t>Необходимо выбрать один из видов резекции малых половых губ</w:t>
        <w:br/>
        <w:br/>
        <w:t>Курс пластической хирургии: Руководство для врачей. В 2 т. / Под ред. К. П. Пшениснова</w:t>
        <w:br/>
        <w:br/>
        <w:t>ТОМ 2, Часть 5. Туловище и нижняя конечность</w:t>
        <w:br/>
        <w:br/>
        <w:t>Глава 5.5 Генитоуринарная реконструкция и эстетика наружных половых органов; стр. 1182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К группе препаратов, обязательно применяемым в послеоперационном периоде,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бронхолитики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нестероидные противовоспалительные средства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ингибиторы протоновой помпы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муколитики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нестероидные противовоспалительные средства</w:t>
      </w:r>
    </w:p>
    <w:p>
      <w:pPr>
        <w:ind w:left="504"/>
      </w:pPr>
      <w:r>
        <w:rPr>
          <w:b w:val="0"/>
          <w:i/>
        </w:rPr>
        <w:t>Для снижения отека и болевых ощущений в области операции необходимо назначить нестероидные противовоспалительные препараты на 3-5 дней</w:t>
        <w:br/>
        <w:br/>
        <w:t>Курс пластической хирургии: Руководство для врачей. В 2 т. / Под ред. К. П. Пшениснова</w:t>
        <w:br/>
        <w:br/>
        <w:t>ТОМ 2, Часть 5. Туловище и нижняя конечность</w:t>
        <w:br/>
        <w:br/>
        <w:t>Глава 5.5 Генитоуринарная реконструкция и эстетика наружных половых органов; стр. 1184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Операцию необходимо проводить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первые 2 недели овариально-менструального цикла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после 25 дня овариально-менструального цикла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1-3 день овариально-менструального цикла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7-10 день овариально-менструального цикла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первые 2 недели овариально-менструального цикла</w:t>
      </w:r>
    </w:p>
    <w:p>
      <w:pPr>
        <w:ind w:left="504"/>
      </w:pPr>
      <w:r>
        <w:rPr>
          <w:b w:val="0"/>
          <w:i/>
        </w:rPr>
        <w:t>Операцию необходимо провести в первые 2 недели овариально-менструального цикла</w:t>
        <w:br/>
        <w:br/>
        <w:t>Курс пластической хирургии: Руководство для врачей. В 2 т. / Под ред. К. П. Пшениснова</w:t>
        <w:br/>
        <w:br/>
        <w:t>ТОМ 2, Часть 5. Туловище и нижняя конечность</w:t>
        <w:br/>
        <w:br/>
        <w:t>Глава 5.5 Генитоуринарная реконструкция и эстетика наружных половых органов; стр. 1181</w:t>
      </w:r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Пациентке после выписки из стационара следует рекомендовать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динамическое наблюдение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курс антибактериальной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самолечение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курс антикоагулянтной терапии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динамическое наблюдение</w:t>
      </w:r>
    </w:p>
    <w:p>
      <w:pPr>
        <w:ind w:left="504"/>
      </w:pPr>
      <w:r>
        <w:rPr>
          <w:b w:val="0"/>
          <w:i/>
        </w:rPr>
        <w:t>После операции необходимо динамическое наблюдение с контролем состояния послеоперационного шва на 3 и 7 сутки</w:t>
        <w:br/>
        <w:br/>
        <w:t>Курс пластической хирургии: Руководство для врачей. В 2 т. / Под ред. К. П. Пшениснова</w:t>
        <w:br/>
        <w:br/>
        <w:t>ТОМ 2, Часть 5. Туловище и нижняя конечность</w:t>
        <w:br/>
        <w:br/>
        <w:t>Глава 5.5 Генитоуринарная реконструкция и эстетика наружных половых органов; стр. 1183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Оценку результата коррекции следует проводить через _____ после коррекции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 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 неделю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 месяцев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месяц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 месяц</w:t>
      </w:r>
    </w:p>
    <w:p>
      <w:pPr>
        <w:ind w:left="504"/>
      </w:pPr>
      <w:r>
        <w:rPr>
          <w:b w:val="0"/>
          <w:i/>
        </w:rPr>
        <w:t>Оценку результатов оперативного вмешательства проводят после реабилитационного периода - 1 мес</w:t>
        <w:br/>
        <w:br/>
        <w:t>Курс пластической хирургии: Руководство для врачей. В 2 т. / Под ред. К. П. Пшениснова</w:t>
        <w:br/>
        <w:br/>
        <w:t>ТОМ 2, Часть 5. Туловище и нижняя конечность</w:t>
        <w:br/>
        <w:br/>
        <w:t>Глава 5.5 Генитоуринарная реконструкция и эстетика наружных половых органов; стр. 1183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Перевязки заключаются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применении антибактериальных мазей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обмывании послеоперационной раны растворами антисептиков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наложении (смене) стрипов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применении гормональных мазей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обмывании послеоперационной раны растворами антисептиков</w:t>
      </w:r>
    </w:p>
    <w:p>
      <w:pPr>
        <w:ind w:left="504"/>
      </w:pPr>
      <w:r>
        <w:rPr>
          <w:b w:val="0"/>
          <w:i/>
        </w:rPr>
        <w:t>Обработка послеоперационного шва включает орошение антисептическим раствором 4-5 раз в день</w:t>
        <w:br/>
        <w:br/>
        <w:t>Курс пластической хирургии: Руководство для врачей. В 2 т. / Под ред. К. П. Пшениснова</w:t>
        <w:br/>
        <w:br/>
        <w:t>ТОМ 2, Часть 5. Туловище и нижняя конечность</w:t>
        <w:br/>
        <w:br/>
        <w:t>Глава 5.5 Генитоуринарная реконструкция и эстетика наружных половых органов; стр. 1183</w:t>
      </w:r>
    </w:p>
    <w:p>
      <w:r>
        <w:drawing>
          <wp:inline xmlns:a="http://schemas.openxmlformats.org/drawingml/2006/main" xmlns:pic="http://schemas.openxmlformats.org/drawingml/2006/picture">
            <wp:extent cx="5303520" cy="5198707"/>
            <wp:docPr id="16" name="Picture 1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baf8cb7af6da56f9dd8a46f72ec5594fdcf165d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19870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Пластическая хирургия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